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F5" w:rsidRDefault="00CF1798" w:rsidP="00CF1798">
      <w:pPr>
        <w:widowControl/>
        <w:adjustRightInd/>
        <w:spacing w:line="240" w:lineRule="auto"/>
        <w:jc w:val="center"/>
        <w:textAlignment w:val="auto"/>
        <w:rPr>
          <w:rFonts w:eastAsia="新細明體" w:hint="eastAsia"/>
          <w:b/>
          <w:sz w:val="28"/>
          <w:szCs w:val="28"/>
        </w:rPr>
      </w:pPr>
      <w:bookmarkStart w:id="0" w:name="_GoBack"/>
      <w:bookmarkEnd w:id="0"/>
      <w:r w:rsidRPr="00CF1798">
        <w:rPr>
          <w:rFonts w:eastAsia="新細明體"/>
          <w:b/>
          <w:sz w:val="28"/>
          <w:szCs w:val="28"/>
          <w:lang w:eastAsia="en-US"/>
        </w:rPr>
        <w:t>NATIONAL SUN YAT-SEN UNIVERSITY</w:t>
      </w:r>
    </w:p>
    <w:p w:rsidR="00307CB8" w:rsidRPr="004477ED" w:rsidRDefault="00307CB8" w:rsidP="00CF1798">
      <w:pPr>
        <w:widowControl/>
        <w:adjustRightInd/>
        <w:spacing w:line="240" w:lineRule="auto"/>
        <w:jc w:val="center"/>
        <w:textAlignment w:val="auto"/>
        <w:rPr>
          <w:rFonts w:eastAsia="新細明體" w:hint="eastAsia"/>
          <w:b/>
          <w:sz w:val="28"/>
          <w:szCs w:val="28"/>
        </w:rPr>
      </w:pPr>
    </w:p>
    <w:p w:rsidR="00CF70F5" w:rsidRPr="004477ED" w:rsidRDefault="00CF70F5" w:rsidP="00CF1798">
      <w:pPr>
        <w:widowControl/>
        <w:adjustRightInd/>
        <w:spacing w:line="240" w:lineRule="auto"/>
        <w:jc w:val="center"/>
        <w:textAlignment w:val="auto"/>
        <w:rPr>
          <w:rFonts w:eastAsia="新細明體"/>
          <w:b/>
          <w:sz w:val="28"/>
          <w:szCs w:val="28"/>
          <w:lang w:eastAsia="en-US"/>
        </w:rPr>
      </w:pPr>
      <w:r w:rsidRPr="004477ED">
        <w:rPr>
          <w:rFonts w:eastAsia="新細明體"/>
          <w:b/>
          <w:sz w:val="28"/>
          <w:szCs w:val="28"/>
          <w:lang w:eastAsia="en-US"/>
        </w:rPr>
        <w:t>Institute of Environmental Engineering</w:t>
      </w:r>
      <w:r w:rsidR="00CF1798" w:rsidRPr="004477ED">
        <w:rPr>
          <w:rFonts w:eastAsia="新細明體"/>
          <w:b/>
          <w:sz w:val="28"/>
          <w:szCs w:val="28"/>
          <w:lang w:eastAsia="en-US"/>
        </w:rPr>
        <w:t xml:space="preserve"> </w:t>
      </w:r>
      <w:r w:rsidR="00817072" w:rsidRPr="004477ED">
        <w:rPr>
          <w:rFonts w:eastAsia="新細明體"/>
          <w:b/>
          <w:sz w:val="28"/>
          <w:szCs w:val="28"/>
          <w:lang w:eastAsia="en-US"/>
        </w:rPr>
        <w:t xml:space="preserve">Doctoral </w:t>
      </w:r>
      <w:r w:rsidRPr="004477ED">
        <w:rPr>
          <w:rFonts w:eastAsia="新細明體"/>
          <w:b/>
          <w:sz w:val="28"/>
          <w:szCs w:val="28"/>
          <w:lang w:eastAsia="en-US"/>
        </w:rPr>
        <w:t xml:space="preserve">Student </w:t>
      </w:r>
      <w:r w:rsidR="00395A28" w:rsidRPr="004477ED">
        <w:rPr>
          <w:rFonts w:eastAsia="新細明體"/>
          <w:b/>
          <w:sz w:val="28"/>
          <w:szCs w:val="28"/>
          <w:lang w:eastAsia="en-US"/>
        </w:rPr>
        <w:t xml:space="preserve">Declaration Form for </w:t>
      </w:r>
      <w:r w:rsidRPr="004477ED">
        <w:rPr>
          <w:rFonts w:eastAsia="新細明體"/>
          <w:b/>
          <w:sz w:val="28"/>
          <w:szCs w:val="28"/>
          <w:lang w:eastAsia="en-US"/>
        </w:rPr>
        <w:t>Prerequisite Course</w:t>
      </w:r>
      <w:r w:rsidR="00395A28" w:rsidRPr="004477ED">
        <w:rPr>
          <w:rFonts w:eastAsia="新細明體"/>
          <w:b/>
          <w:sz w:val="28"/>
          <w:szCs w:val="28"/>
          <w:lang w:eastAsia="en-US"/>
        </w:rPr>
        <w:t>s Already Taken</w:t>
      </w:r>
      <w:r w:rsidRPr="004477ED">
        <w:rPr>
          <w:rFonts w:eastAsia="新細明體"/>
          <w:b/>
          <w:sz w:val="28"/>
          <w:szCs w:val="28"/>
          <w:lang w:eastAsia="en-US"/>
        </w:rPr>
        <w:t xml:space="preserve"> and Guidelines for Declaration Review</w:t>
      </w:r>
    </w:p>
    <w:p w:rsidR="00CF1798" w:rsidRPr="003F3463" w:rsidRDefault="00CF1798" w:rsidP="00CF1798">
      <w:pPr>
        <w:pStyle w:val="a3"/>
        <w:wordWrap/>
        <w:rPr>
          <w:rFonts w:ascii="Times New Roman" w:eastAsia="新細明體"/>
          <w:sz w:val="20"/>
        </w:rPr>
      </w:pPr>
    </w:p>
    <w:p w:rsidR="00CF1798" w:rsidRDefault="00E77B99" w:rsidP="00CF1798">
      <w:pPr>
        <w:pStyle w:val="a3"/>
        <w:wordWrap/>
        <w:rPr>
          <w:rFonts w:ascii="Times New Roman" w:eastAsia="新細明體"/>
          <w:sz w:val="20"/>
        </w:rPr>
      </w:pPr>
      <w:r>
        <w:rPr>
          <w:rFonts w:ascii="Times New Roman" w:eastAsia="新細明體" w:hint="eastAsia"/>
          <w:sz w:val="20"/>
        </w:rPr>
        <w:t>Approved by the 1</w:t>
      </w:r>
      <w:r w:rsidRPr="00E77B99">
        <w:rPr>
          <w:rFonts w:ascii="Times New Roman" w:eastAsia="新細明體" w:hint="eastAsia"/>
          <w:sz w:val="20"/>
          <w:vertAlign w:val="superscript"/>
        </w:rPr>
        <w:t>st</w:t>
      </w:r>
      <w:r>
        <w:rPr>
          <w:rFonts w:ascii="Times New Roman" w:eastAsia="新細明體" w:hint="eastAsia"/>
          <w:sz w:val="20"/>
        </w:rPr>
        <w:t xml:space="preserve"> </w:t>
      </w:r>
      <w:r>
        <w:rPr>
          <w:rFonts w:ascii="Times New Roman" w:eastAsia="新細明體"/>
          <w:sz w:val="20"/>
        </w:rPr>
        <w:t>Institute General Meeting on October 1, 1998, School Year of 87.</w:t>
      </w:r>
    </w:p>
    <w:p w:rsidR="00E77B99" w:rsidRDefault="00E77B99" w:rsidP="00CF1798">
      <w:pPr>
        <w:pStyle w:val="a3"/>
        <w:wordWrap/>
        <w:rPr>
          <w:rFonts w:ascii="Times New Roman" w:eastAsia="新細明體"/>
          <w:sz w:val="20"/>
        </w:rPr>
      </w:pPr>
      <w:r>
        <w:rPr>
          <w:rFonts w:ascii="Times New Roman" w:eastAsia="新細明體"/>
          <w:sz w:val="20"/>
        </w:rPr>
        <w:t>Amended and approved by the 1</w:t>
      </w:r>
      <w:r w:rsidRPr="00E77B99">
        <w:rPr>
          <w:rFonts w:ascii="Times New Roman" w:eastAsia="新細明體"/>
          <w:sz w:val="20"/>
          <w:vertAlign w:val="superscript"/>
        </w:rPr>
        <w:t>st</w:t>
      </w:r>
      <w:r>
        <w:rPr>
          <w:rFonts w:ascii="Times New Roman" w:eastAsia="新細明體"/>
          <w:sz w:val="20"/>
        </w:rPr>
        <w:t xml:space="preserve"> Institute General Meeting on September 15, 2008, School Year 97. </w:t>
      </w:r>
    </w:p>
    <w:p w:rsidR="00E77B99" w:rsidRDefault="00E77B99" w:rsidP="00E77B99">
      <w:pPr>
        <w:pStyle w:val="a3"/>
        <w:wordWrap/>
        <w:rPr>
          <w:rFonts w:ascii="Times New Roman" w:eastAsia="新細明體"/>
          <w:sz w:val="20"/>
        </w:rPr>
      </w:pPr>
      <w:r>
        <w:rPr>
          <w:rFonts w:ascii="Times New Roman" w:eastAsia="新細明體"/>
          <w:sz w:val="20"/>
        </w:rPr>
        <w:t>Amended and approved by the 9</w:t>
      </w:r>
      <w:r w:rsidRPr="00E77B99">
        <w:rPr>
          <w:rFonts w:ascii="Times New Roman" w:eastAsia="新細明體"/>
          <w:sz w:val="20"/>
          <w:vertAlign w:val="superscript"/>
        </w:rPr>
        <w:t>th</w:t>
      </w:r>
      <w:r>
        <w:rPr>
          <w:rFonts w:ascii="Times New Roman" w:eastAsia="新細明體"/>
          <w:sz w:val="20"/>
        </w:rPr>
        <w:t xml:space="preserve"> Institute General Meeting on April 10, 2009, School Year 97. </w:t>
      </w:r>
    </w:p>
    <w:p w:rsidR="00E77B99" w:rsidRDefault="00E77B99" w:rsidP="00E77B99">
      <w:pPr>
        <w:pStyle w:val="a3"/>
        <w:wordWrap/>
        <w:rPr>
          <w:rFonts w:ascii="Times New Roman" w:eastAsia="新細明體"/>
          <w:sz w:val="20"/>
        </w:rPr>
      </w:pPr>
      <w:r>
        <w:rPr>
          <w:rFonts w:ascii="Times New Roman" w:eastAsia="新細明體"/>
          <w:sz w:val="20"/>
        </w:rPr>
        <w:t>Amended and approved by the 2</w:t>
      </w:r>
      <w:r w:rsidRPr="00E77B99">
        <w:rPr>
          <w:rFonts w:ascii="Times New Roman" w:eastAsia="新細明體"/>
          <w:sz w:val="20"/>
          <w:vertAlign w:val="superscript"/>
        </w:rPr>
        <w:t>nd</w:t>
      </w:r>
      <w:r>
        <w:rPr>
          <w:rFonts w:ascii="Times New Roman" w:eastAsia="新細明體"/>
          <w:sz w:val="20"/>
        </w:rPr>
        <w:t xml:space="preserve"> Institute General Meeting on November 13, 2013, School Year 102. </w:t>
      </w:r>
    </w:p>
    <w:p w:rsidR="00FB1E84" w:rsidRDefault="00E77B99" w:rsidP="00E77B99">
      <w:pPr>
        <w:pStyle w:val="a3"/>
        <w:wordWrap/>
        <w:rPr>
          <w:rFonts w:ascii="Times New Roman" w:eastAsia="新細明體"/>
          <w:sz w:val="20"/>
        </w:rPr>
      </w:pPr>
      <w:r>
        <w:rPr>
          <w:rFonts w:ascii="Times New Roman" w:eastAsia="新細明體"/>
          <w:sz w:val="20"/>
        </w:rPr>
        <w:t>Amended and approved by the 2</w:t>
      </w:r>
      <w:r w:rsidRPr="00E77B99">
        <w:rPr>
          <w:rFonts w:ascii="Times New Roman" w:eastAsia="新細明體"/>
          <w:sz w:val="20"/>
          <w:vertAlign w:val="superscript"/>
        </w:rPr>
        <w:t>nd</w:t>
      </w:r>
      <w:r>
        <w:rPr>
          <w:rFonts w:ascii="Times New Roman" w:eastAsia="新細明體"/>
          <w:sz w:val="20"/>
        </w:rPr>
        <w:t xml:space="preserve"> Institute General Meeting on October 22, 2014, School Year 103.</w:t>
      </w:r>
    </w:p>
    <w:p w:rsidR="00FB1E84" w:rsidRPr="0022303F" w:rsidRDefault="00FB1E84" w:rsidP="00FB1E84">
      <w:pPr>
        <w:pStyle w:val="a3"/>
        <w:wordWrap/>
        <w:rPr>
          <w:rFonts w:ascii="Times New Roman" w:eastAsia="新細明體"/>
          <w:color w:val="FF0000"/>
          <w:sz w:val="20"/>
        </w:rPr>
      </w:pPr>
      <w:r w:rsidRPr="0022303F">
        <w:rPr>
          <w:rFonts w:ascii="Times New Roman" w:eastAsia="新細明體"/>
          <w:color w:val="FF0000"/>
          <w:sz w:val="20"/>
        </w:rPr>
        <w:t>Amended and approved by the 8</w:t>
      </w:r>
      <w:r w:rsidRPr="0022303F">
        <w:rPr>
          <w:rFonts w:ascii="Times New Roman" w:eastAsia="新細明體"/>
          <w:color w:val="FF0000"/>
          <w:sz w:val="20"/>
          <w:vertAlign w:val="superscript"/>
        </w:rPr>
        <w:t>th</w:t>
      </w:r>
      <w:r w:rsidRPr="0022303F">
        <w:rPr>
          <w:rFonts w:ascii="Times New Roman" w:eastAsia="新細明體"/>
          <w:color w:val="FF0000"/>
          <w:sz w:val="20"/>
        </w:rPr>
        <w:t xml:space="preserve"> Institute General Meeting on June 5, 2019, School Year 107.</w:t>
      </w:r>
    </w:p>
    <w:p w:rsidR="00E77B99" w:rsidRPr="00FB1E84" w:rsidRDefault="00E77B99" w:rsidP="00E77B99">
      <w:pPr>
        <w:pStyle w:val="a3"/>
        <w:wordWrap/>
        <w:rPr>
          <w:rFonts w:ascii="Times New Roman" w:eastAsia="新細明體"/>
          <w:sz w:val="20"/>
        </w:rPr>
      </w:pPr>
    </w:p>
    <w:p w:rsidR="00CF1798" w:rsidRPr="00CF1798" w:rsidRDefault="00CF1798" w:rsidP="00CF1798">
      <w:pPr>
        <w:pStyle w:val="a3"/>
        <w:wordWrap/>
        <w:rPr>
          <w:rFonts w:ascii="Times New Roman" w:eastAsia="新細明體" w:hint="eastAsia"/>
          <w:sz w:val="20"/>
        </w:rPr>
      </w:pPr>
    </w:p>
    <w:p w:rsidR="00395A28" w:rsidRDefault="00CF70F5" w:rsidP="006F0BC5">
      <w:pPr>
        <w:pStyle w:val="a3"/>
        <w:numPr>
          <w:ilvl w:val="0"/>
          <w:numId w:val="2"/>
        </w:numPr>
        <w:wordWrap/>
        <w:spacing w:afterLines="50" w:after="120"/>
        <w:ind w:left="490" w:hanging="490"/>
        <w:jc w:val="both"/>
        <w:rPr>
          <w:rFonts w:ascii="Times New Roman" w:eastAsia="新細明體"/>
          <w:sz w:val="24"/>
        </w:rPr>
      </w:pPr>
      <w:r w:rsidRPr="00CF1798">
        <w:rPr>
          <w:rFonts w:ascii="Times New Roman" w:eastAsia="新細明體"/>
          <w:sz w:val="24"/>
        </w:rPr>
        <w:t xml:space="preserve">All </w:t>
      </w:r>
      <w:r w:rsidR="006F0BC5">
        <w:rPr>
          <w:rFonts w:ascii="Times New Roman" w:eastAsia="新細明體"/>
          <w:sz w:val="24"/>
        </w:rPr>
        <w:t>doctoral</w:t>
      </w:r>
      <w:r w:rsidR="006F0BC5" w:rsidRPr="00CF1798">
        <w:rPr>
          <w:rFonts w:ascii="Times New Roman" w:eastAsia="新細明體"/>
          <w:sz w:val="24"/>
        </w:rPr>
        <w:t xml:space="preserve"> </w:t>
      </w:r>
      <w:r w:rsidRPr="00CF1798">
        <w:rPr>
          <w:rFonts w:ascii="Times New Roman" w:eastAsia="新細明體"/>
          <w:sz w:val="24"/>
        </w:rPr>
        <w:t>students of the Institute of Environmental E</w:t>
      </w:r>
      <w:r w:rsidR="00395A28" w:rsidRPr="00CF1798">
        <w:rPr>
          <w:rFonts w:ascii="Times New Roman" w:eastAsia="新細明體"/>
          <w:sz w:val="24"/>
        </w:rPr>
        <w:t>ngineering are required to fill out</w:t>
      </w:r>
      <w:r w:rsidRPr="00CF1798">
        <w:rPr>
          <w:rFonts w:ascii="Times New Roman" w:eastAsia="新細明體"/>
          <w:sz w:val="24"/>
        </w:rPr>
        <w:t xml:space="preserve"> and </w:t>
      </w:r>
      <w:r w:rsidR="00E66793">
        <w:rPr>
          <w:rFonts w:ascii="Times New Roman" w:eastAsia="新細明體"/>
          <w:sz w:val="24"/>
        </w:rPr>
        <w:t>submit</w:t>
      </w:r>
      <w:r w:rsidRPr="00CF1798">
        <w:rPr>
          <w:rFonts w:ascii="Times New Roman" w:eastAsia="新細明體"/>
          <w:sz w:val="24"/>
        </w:rPr>
        <w:t xml:space="preserve"> this form. Students who have taken and passed </w:t>
      </w:r>
      <w:r w:rsidR="00E66793">
        <w:rPr>
          <w:rFonts w:ascii="Times New Roman" w:eastAsia="新細明體"/>
          <w:sz w:val="24"/>
        </w:rPr>
        <w:t>master’s degree</w:t>
      </w:r>
      <w:r w:rsidRPr="00CF1798">
        <w:rPr>
          <w:rFonts w:ascii="Times New Roman" w:eastAsia="新細明體"/>
          <w:sz w:val="24"/>
        </w:rPr>
        <w:t xml:space="preserve"> courses that are in nature same as or similar to </w:t>
      </w:r>
      <w:r w:rsidR="00395A28" w:rsidRPr="00CF1798">
        <w:rPr>
          <w:rFonts w:ascii="Times New Roman" w:eastAsia="新細明體"/>
          <w:sz w:val="24"/>
        </w:rPr>
        <w:t xml:space="preserve">the institute’s </w:t>
      </w:r>
      <w:r w:rsidRPr="00CF1798">
        <w:rPr>
          <w:rFonts w:ascii="Times New Roman" w:eastAsia="新細明體"/>
          <w:sz w:val="24"/>
        </w:rPr>
        <w:t xml:space="preserve">prerequisite courses may be exempted from taking </w:t>
      </w:r>
      <w:r w:rsidR="00395A28" w:rsidRPr="00CF1798">
        <w:rPr>
          <w:rFonts w:ascii="Times New Roman" w:eastAsia="新細明體"/>
          <w:sz w:val="24"/>
        </w:rPr>
        <w:t>such</w:t>
      </w:r>
      <w:r w:rsidRPr="00CF1798">
        <w:rPr>
          <w:rFonts w:ascii="Times New Roman" w:eastAsia="新細明體"/>
          <w:sz w:val="24"/>
        </w:rPr>
        <w:t xml:space="preserve"> prerequisite courses.</w:t>
      </w:r>
    </w:p>
    <w:p w:rsidR="00CF70F5" w:rsidRPr="007F260A" w:rsidRDefault="00CF70F5" w:rsidP="007F260A">
      <w:pPr>
        <w:pStyle w:val="a3"/>
        <w:numPr>
          <w:ilvl w:val="0"/>
          <w:numId w:val="2"/>
        </w:numPr>
        <w:wordWrap/>
        <w:spacing w:afterLines="50" w:after="120"/>
        <w:ind w:left="490" w:hanging="490"/>
        <w:rPr>
          <w:rFonts w:ascii="Times New Roman" w:eastAsia="新細明體"/>
          <w:sz w:val="24"/>
        </w:rPr>
      </w:pPr>
      <w:r w:rsidRPr="007F260A">
        <w:rPr>
          <w:rFonts w:ascii="Times New Roman" w:eastAsia="新細明體"/>
        </w:rPr>
        <w:t>Declaration and Review Sheet (Applicants are to fill in the fields under C)</w:t>
      </w:r>
      <w:r w:rsidR="00E66793">
        <w:rPr>
          <w:rFonts w:ascii="Times New Roman" w:eastAsia="新細明體"/>
        </w:rPr>
        <w:t>:</w:t>
      </w:r>
    </w:p>
    <w:tbl>
      <w:tblPr>
        <w:tblW w:w="96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7" w:firstRow="0" w:lastRow="0" w:firstColumn="0" w:lastColumn="0" w:noHBand="0" w:noVBand="0"/>
      </w:tblPr>
      <w:tblGrid>
        <w:gridCol w:w="1694"/>
        <w:gridCol w:w="3346"/>
        <w:gridCol w:w="1483"/>
        <w:gridCol w:w="700"/>
        <w:gridCol w:w="770"/>
        <w:gridCol w:w="1674"/>
      </w:tblGrid>
      <w:tr w:rsidR="00F4180F" w:rsidRPr="00CF1798" w:rsidTr="00AA13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shd w:val="clear" w:color="auto" w:fill="FFFF99"/>
          </w:tcPr>
          <w:p w:rsidR="00F4180F" w:rsidRPr="00AA1317" w:rsidRDefault="00F4180F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Cs w:val="24"/>
              </w:rPr>
            </w:pPr>
            <w:r w:rsidRPr="00AA1317">
              <w:rPr>
                <w:rFonts w:eastAsia="新細明體"/>
                <w:szCs w:val="24"/>
              </w:rPr>
              <w:t>A</w:t>
            </w:r>
          </w:p>
        </w:tc>
        <w:tc>
          <w:tcPr>
            <w:tcW w:w="3346" w:type="dxa"/>
            <w:shd w:val="clear" w:color="auto" w:fill="FFFF99"/>
          </w:tcPr>
          <w:p w:rsidR="00F4180F" w:rsidRPr="00AA1317" w:rsidRDefault="00F4180F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Cs w:val="24"/>
              </w:rPr>
            </w:pPr>
            <w:r w:rsidRPr="00AA1317">
              <w:rPr>
                <w:rFonts w:eastAsia="新細明體"/>
                <w:szCs w:val="24"/>
              </w:rPr>
              <w:t>B</w:t>
            </w:r>
          </w:p>
        </w:tc>
        <w:tc>
          <w:tcPr>
            <w:tcW w:w="2953" w:type="dxa"/>
            <w:gridSpan w:val="3"/>
            <w:shd w:val="clear" w:color="auto" w:fill="FFFF99"/>
          </w:tcPr>
          <w:p w:rsidR="00F4180F" w:rsidRPr="00AA1317" w:rsidRDefault="00F4180F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Cs w:val="24"/>
              </w:rPr>
            </w:pPr>
            <w:r w:rsidRPr="00AA1317">
              <w:rPr>
                <w:rFonts w:eastAsia="新細明體"/>
                <w:szCs w:val="24"/>
              </w:rPr>
              <w:t>C</w:t>
            </w:r>
          </w:p>
        </w:tc>
        <w:tc>
          <w:tcPr>
            <w:tcW w:w="1674" w:type="dxa"/>
            <w:shd w:val="clear" w:color="auto" w:fill="FFFF99"/>
          </w:tcPr>
          <w:p w:rsidR="00F4180F" w:rsidRPr="00AA1317" w:rsidRDefault="00F4180F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Cs w:val="24"/>
              </w:rPr>
            </w:pPr>
            <w:r w:rsidRPr="00AA1317">
              <w:rPr>
                <w:rFonts w:eastAsia="新細明體"/>
                <w:szCs w:val="24"/>
              </w:rPr>
              <w:t>D</w:t>
            </w:r>
          </w:p>
        </w:tc>
      </w:tr>
      <w:tr w:rsidR="00F4180F" w:rsidRPr="00CF1798" w:rsidTr="00AA131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94" w:type="dxa"/>
            <w:shd w:val="clear" w:color="auto" w:fill="FFFF99"/>
            <w:vAlign w:val="center"/>
          </w:tcPr>
          <w:p w:rsidR="00830E54" w:rsidRPr="00CF1798" w:rsidRDefault="00CF70F5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Prerequisite</w:t>
            </w:r>
          </w:p>
          <w:p w:rsidR="00F4180F" w:rsidRPr="00CF1798" w:rsidRDefault="00CF70F5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Course</w:t>
            </w:r>
          </w:p>
        </w:tc>
        <w:tc>
          <w:tcPr>
            <w:tcW w:w="3346" w:type="dxa"/>
            <w:shd w:val="clear" w:color="auto" w:fill="FFFF99"/>
            <w:vAlign w:val="center"/>
          </w:tcPr>
          <w:p w:rsidR="00830E54" w:rsidRPr="00CF1798" w:rsidRDefault="00CF70F5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Courses Similar in Nature</w:t>
            </w:r>
          </w:p>
          <w:p w:rsidR="00CF70F5" w:rsidRPr="00CF1798" w:rsidRDefault="00CF70F5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(Note)</w:t>
            </w:r>
          </w:p>
        </w:tc>
        <w:tc>
          <w:tcPr>
            <w:tcW w:w="1483" w:type="dxa"/>
            <w:shd w:val="clear" w:color="auto" w:fill="FFFF99"/>
            <w:vAlign w:val="center"/>
          </w:tcPr>
          <w:p w:rsidR="00830E54" w:rsidRPr="00CF1798" w:rsidRDefault="00CF70F5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Course Already</w:t>
            </w:r>
          </w:p>
          <w:p w:rsidR="00F4180F" w:rsidRPr="00CF1798" w:rsidRDefault="00CF70F5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Taken</w:t>
            </w:r>
          </w:p>
        </w:tc>
        <w:tc>
          <w:tcPr>
            <w:tcW w:w="700" w:type="dxa"/>
            <w:shd w:val="clear" w:color="auto" w:fill="FFFF99"/>
            <w:vAlign w:val="center"/>
          </w:tcPr>
          <w:p w:rsidR="00F4180F" w:rsidRPr="00CF1798" w:rsidRDefault="00CF70F5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Grade</w:t>
            </w:r>
          </w:p>
        </w:tc>
        <w:tc>
          <w:tcPr>
            <w:tcW w:w="770" w:type="dxa"/>
            <w:shd w:val="clear" w:color="auto" w:fill="FFFF99"/>
            <w:vAlign w:val="center"/>
          </w:tcPr>
          <w:p w:rsidR="00F4180F" w:rsidRPr="00CF1798" w:rsidRDefault="00CF70F5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Credits</w:t>
            </w:r>
          </w:p>
        </w:tc>
        <w:tc>
          <w:tcPr>
            <w:tcW w:w="1674" w:type="dxa"/>
            <w:shd w:val="clear" w:color="auto" w:fill="FFFF99"/>
            <w:vAlign w:val="center"/>
          </w:tcPr>
          <w:p w:rsidR="00830E54" w:rsidRPr="00CF1798" w:rsidRDefault="00CF70F5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Review</w:t>
            </w:r>
          </w:p>
          <w:p w:rsidR="00F4180F" w:rsidRPr="00CF1798" w:rsidRDefault="00CF70F5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Result</w:t>
            </w:r>
          </w:p>
        </w:tc>
      </w:tr>
      <w:tr w:rsidR="00F4180F" w:rsidRPr="00CF1798" w:rsidTr="00AA131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94" w:type="dxa"/>
            <w:vAlign w:val="center"/>
          </w:tcPr>
          <w:p w:rsidR="00F4180F" w:rsidRPr="00CF1798" w:rsidRDefault="00F4180F" w:rsidP="00AA1317">
            <w:pPr>
              <w:kinsoku w:val="0"/>
              <w:overflowPunct w:val="0"/>
              <w:spacing w:beforeLines="10" w:before="24" w:afterLines="10" w:after="24" w:line="240" w:lineRule="auto"/>
              <w:ind w:leftChars="17" w:left="279" w:hangingChars="108" w:hanging="238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1.</w:t>
            </w:r>
            <w:r w:rsidR="00CF70F5" w:rsidRPr="00CF1798">
              <w:rPr>
                <w:rFonts w:eastAsia="新細明體"/>
                <w:sz w:val="22"/>
                <w:szCs w:val="22"/>
              </w:rPr>
              <w:t xml:space="preserve"> Environmental Chemistry</w:t>
            </w:r>
          </w:p>
        </w:tc>
        <w:tc>
          <w:tcPr>
            <w:tcW w:w="3346" w:type="dxa"/>
            <w:vAlign w:val="center"/>
          </w:tcPr>
          <w:p w:rsidR="0089245D" w:rsidRPr="00CF1798" w:rsidRDefault="00074404" w:rsidP="00AA1317">
            <w:pPr>
              <w:kinsoku w:val="0"/>
              <w:overflowPunct w:val="0"/>
              <w:spacing w:beforeLines="10" w:before="24" w:afterLines="10" w:after="24" w:line="240" w:lineRule="auto"/>
              <w:ind w:leftChars="22" w:left="53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Environmental Engineering Chemistry</w:t>
            </w:r>
          </w:p>
          <w:p w:rsidR="00F4180F" w:rsidRPr="00CF1798" w:rsidRDefault="00074404" w:rsidP="00AA1317">
            <w:pPr>
              <w:kinsoku w:val="0"/>
              <w:overflowPunct w:val="0"/>
              <w:spacing w:beforeLines="10" w:before="24" w:afterLines="10" w:after="24" w:line="240" w:lineRule="auto"/>
              <w:ind w:leftChars="22" w:left="53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Chemistry of Environmental Engineering</w:t>
            </w:r>
          </w:p>
        </w:tc>
        <w:tc>
          <w:tcPr>
            <w:tcW w:w="1483" w:type="dxa"/>
            <w:vAlign w:val="center"/>
          </w:tcPr>
          <w:p w:rsidR="00F4180F" w:rsidRPr="00CF1798" w:rsidRDefault="00F4180F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F4180F" w:rsidRPr="00CF1798" w:rsidRDefault="00F4180F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F4180F" w:rsidRPr="00CF1798" w:rsidRDefault="00F4180F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F4180F" w:rsidRPr="00CF1798" w:rsidRDefault="0089245D" w:rsidP="00AA1317">
            <w:pPr>
              <w:kinsoku w:val="0"/>
              <w:overflowPunct w:val="0"/>
              <w:spacing w:beforeLines="10" w:before="24" w:afterLines="10" w:after="24" w:line="240" w:lineRule="auto"/>
              <w:ind w:leftChars="35" w:left="84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□</w:t>
            </w:r>
            <w:r w:rsidR="001149F8">
              <w:rPr>
                <w:rFonts w:eastAsia="新細明體" w:hint="eastAsia"/>
                <w:sz w:val="22"/>
                <w:szCs w:val="22"/>
              </w:rPr>
              <w:t xml:space="preserve"> </w:t>
            </w:r>
            <w:r w:rsidR="00074404" w:rsidRPr="00CF1798">
              <w:rPr>
                <w:rFonts w:eastAsia="新細明體"/>
                <w:sz w:val="22"/>
                <w:szCs w:val="22"/>
              </w:rPr>
              <w:t>Approved</w:t>
            </w:r>
          </w:p>
          <w:p w:rsidR="0089245D" w:rsidRPr="00CF1798" w:rsidRDefault="0089245D" w:rsidP="00AA1317">
            <w:pPr>
              <w:kinsoku w:val="0"/>
              <w:overflowPunct w:val="0"/>
              <w:spacing w:beforeLines="10" w:before="24" w:afterLines="10" w:after="24" w:line="240" w:lineRule="auto"/>
              <w:ind w:leftChars="35" w:left="84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□</w:t>
            </w:r>
            <w:r w:rsidR="001149F8">
              <w:rPr>
                <w:rFonts w:eastAsia="新細明體" w:hint="eastAsia"/>
                <w:sz w:val="22"/>
                <w:szCs w:val="22"/>
              </w:rPr>
              <w:t xml:space="preserve"> </w:t>
            </w:r>
            <w:r w:rsidR="00074404" w:rsidRPr="00CF1798">
              <w:rPr>
                <w:rFonts w:eastAsia="新細明體"/>
                <w:sz w:val="22"/>
                <w:szCs w:val="22"/>
              </w:rPr>
              <w:t>Not approved</w:t>
            </w:r>
          </w:p>
        </w:tc>
      </w:tr>
      <w:tr w:rsidR="0089245D" w:rsidRPr="00CF1798" w:rsidTr="00AA131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94" w:type="dxa"/>
            <w:vAlign w:val="center"/>
          </w:tcPr>
          <w:p w:rsidR="0089245D" w:rsidRPr="00CF1798" w:rsidRDefault="0089245D" w:rsidP="00AA1317">
            <w:pPr>
              <w:kinsoku w:val="0"/>
              <w:overflowPunct w:val="0"/>
              <w:spacing w:beforeLines="10" w:before="24" w:afterLines="10" w:after="24" w:line="240" w:lineRule="auto"/>
              <w:ind w:leftChars="17" w:left="279" w:hangingChars="108" w:hanging="238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2.</w:t>
            </w:r>
            <w:r w:rsidR="00074404" w:rsidRPr="00CF1798">
              <w:rPr>
                <w:rFonts w:eastAsia="新細明體"/>
                <w:sz w:val="22"/>
                <w:szCs w:val="22"/>
              </w:rPr>
              <w:t xml:space="preserve"> Environmental Fluid Mechanics</w:t>
            </w:r>
          </w:p>
        </w:tc>
        <w:tc>
          <w:tcPr>
            <w:tcW w:w="3346" w:type="dxa"/>
            <w:vAlign w:val="center"/>
          </w:tcPr>
          <w:p w:rsidR="00074404" w:rsidRPr="00CF1798" w:rsidRDefault="00074404" w:rsidP="00AA1317">
            <w:pPr>
              <w:kinsoku w:val="0"/>
              <w:overflowPunct w:val="0"/>
              <w:spacing w:beforeLines="10" w:before="24" w:afterLines="10" w:after="24" w:line="240" w:lineRule="auto"/>
              <w:ind w:leftChars="22" w:left="53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Fluid Mechanics</w:t>
            </w:r>
          </w:p>
          <w:p w:rsidR="00074404" w:rsidRPr="00CF1798" w:rsidRDefault="00074404" w:rsidP="00AA1317">
            <w:pPr>
              <w:kinsoku w:val="0"/>
              <w:overflowPunct w:val="0"/>
              <w:spacing w:beforeLines="10" w:before="24" w:afterLines="10" w:after="24" w:line="240" w:lineRule="auto"/>
              <w:ind w:leftChars="22" w:left="53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Transport Phenomena</w:t>
            </w:r>
          </w:p>
          <w:p w:rsidR="00074404" w:rsidRPr="00CF1798" w:rsidRDefault="00074404" w:rsidP="00AA1317">
            <w:pPr>
              <w:kinsoku w:val="0"/>
              <w:overflowPunct w:val="0"/>
              <w:spacing w:beforeLines="10" w:before="24" w:afterLines="10" w:after="24" w:line="240" w:lineRule="auto"/>
              <w:ind w:leftChars="22" w:left="53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Ocean</w:t>
            </w:r>
            <w:r w:rsidR="007A24A7" w:rsidRPr="00CF1798">
              <w:rPr>
                <w:rFonts w:eastAsia="新細明體"/>
                <w:sz w:val="22"/>
                <w:szCs w:val="22"/>
              </w:rPr>
              <w:t>ic</w:t>
            </w:r>
            <w:r w:rsidRPr="00CF1798">
              <w:rPr>
                <w:rFonts w:eastAsia="新細明體"/>
                <w:sz w:val="22"/>
                <w:szCs w:val="22"/>
              </w:rPr>
              <w:t xml:space="preserve"> Fluid </w:t>
            </w:r>
            <w:r w:rsidR="007A24A7" w:rsidRPr="00CF1798">
              <w:rPr>
                <w:rFonts w:eastAsia="新細明體"/>
                <w:sz w:val="22"/>
                <w:szCs w:val="22"/>
              </w:rPr>
              <w:t>Dynam</w:t>
            </w:r>
            <w:r w:rsidRPr="00CF1798">
              <w:rPr>
                <w:rFonts w:eastAsia="新細明體"/>
                <w:sz w:val="22"/>
                <w:szCs w:val="22"/>
              </w:rPr>
              <w:t>ics</w:t>
            </w:r>
          </w:p>
        </w:tc>
        <w:tc>
          <w:tcPr>
            <w:tcW w:w="1483" w:type="dxa"/>
            <w:vAlign w:val="center"/>
          </w:tcPr>
          <w:p w:rsidR="0089245D" w:rsidRPr="00CF1798" w:rsidRDefault="0089245D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89245D" w:rsidRPr="00CF1798" w:rsidRDefault="0089245D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89245D" w:rsidRPr="00CF1798" w:rsidRDefault="0089245D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074404" w:rsidRPr="00CF1798" w:rsidRDefault="00074404" w:rsidP="00AA1317">
            <w:pPr>
              <w:kinsoku w:val="0"/>
              <w:overflowPunct w:val="0"/>
              <w:spacing w:beforeLines="10" w:before="24" w:afterLines="10" w:after="24" w:line="240" w:lineRule="auto"/>
              <w:ind w:leftChars="35" w:left="84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□</w:t>
            </w:r>
            <w:r w:rsidR="001149F8">
              <w:rPr>
                <w:rFonts w:eastAsia="新細明體" w:hint="eastAsia"/>
                <w:sz w:val="22"/>
                <w:szCs w:val="22"/>
              </w:rPr>
              <w:t xml:space="preserve"> </w:t>
            </w:r>
            <w:r w:rsidRPr="00CF1798">
              <w:rPr>
                <w:rFonts w:eastAsia="新細明體"/>
                <w:sz w:val="22"/>
                <w:szCs w:val="22"/>
              </w:rPr>
              <w:t>Approved</w:t>
            </w:r>
          </w:p>
          <w:p w:rsidR="0089245D" w:rsidRPr="00CF1798" w:rsidRDefault="00074404" w:rsidP="00AA1317">
            <w:pPr>
              <w:tabs>
                <w:tab w:val="left" w:pos="112"/>
              </w:tabs>
              <w:kinsoku w:val="0"/>
              <w:overflowPunct w:val="0"/>
              <w:spacing w:beforeLines="10" w:before="24" w:afterLines="10" w:after="24" w:line="240" w:lineRule="auto"/>
              <w:ind w:leftChars="35" w:left="84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□</w:t>
            </w:r>
            <w:r w:rsidR="001149F8">
              <w:rPr>
                <w:rFonts w:eastAsia="新細明體" w:hint="eastAsia"/>
                <w:sz w:val="22"/>
                <w:szCs w:val="22"/>
              </w:rPr>
              <w:t xml:space="preserve"> </w:t>
            </w:r>
            <w:r w:rsidRPr="00CF1798">
              <w:rPr>
                <w:rFonts w:eastAsia="新細明體"/>
                <w:sz w:val="22"/>
                <w:szCs w:val="22"/>
              </w:rPr>
              <w:t>Not approved</w:t>
            </w:r>
          </w:p>
        </w:tc>
      </w:tr>
      <w:tr w:rsidR="0089245D" w:rsidRPr="00CF1798" w:rsidTr="00AA131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94" w:type="dxa"/>
            <w:vAlign w:val="center"/>
          </w:tcPr>
          <w:p w:rsidR="0089245D" w:rsidRPr="00CF1798" w:rsidRDefault="0089245D" w:rsidP="00AA1317">
            <w:pPr>
              <w:kinsoku w:val="0"/>
              <w:overflowPunct w:val="0"/>
              <w:spacing w:beforeLines="10" w:before="24" w:afterLines="10" w:after="24" w:line="240" w:lineRule="auto"/>
              <w:ind w:leftChars="17" w:left="279" w:hangingChars="108" w:hanging="238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3.</w:t>
            </w:r>
            <w:r w:rsidR="001149F8">
              <w:rPr>
                <w:rFonts w:eastAsia="新細明體"/>
                <w:sz w:val="22"/>
                <w:szCs w:val="22"/>
              </w:rPr>
              <w:t xml:space="preserve"> Physical- c</w:t>
            </w:r>
            <w:r w:rsidR="00074404" w:rsidRPr="00CF1798">
              <w:rPr>
                <w:rFonts w:eastAsia="新細明體"/>
                <w:sz w:val="22"/>
                <w:szCs w:val="22"/>
              </w:rPr>
              <w:t>hemical Treatment</w:t>
            </w:r>
          </w:p>
        </w:tc>
        <w:tc>
          <w:tcPr>
            <w:tcW w:w="3346" w:type="dxa"/>
            <w:vAlign w:val="center"/>
          </w:tcPr>
          <w:p w:rsidR="0089245D" w:rsidRPr="00CF1798" w:rsidRDefault="00074404" w:rsidP="00AA1317">
            <w:pPr>
              <w:kinsoku w:val="0"/>
              <w:overflowPunct w:val="0"/>
              <w:spacing w:beforeLines="10" w:before="24" w:afterLines="10" w:after="24" w:line="240" w:lineRule="auto"/>
              <w:ind w:leftChars="22" w:left="53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Environmental Physical-</w:t>
            </w:r>
            <w:r w:rsidR="00984B18">
              <w:rPr>
                <w:rFonts w:eastAsia="新細明體"/>
                <w:sz w:val="22"/>
                <w:szCs w:val="22"/>
              </w:rPr>
              <w:t>c</w:t>
            </w:r>
            <w:r w:rsidR="00984B18" w:rsidRPr="00CF1798">
              <w:rPr>
                <w:rFonts w:eastAsia="新細明體"/>
                <w:sz w:val="22"/>
                <w:szCs w:val="22"/>
              </w:rPr>
              <w:t xml:space="preserve">hemical </w:t>
            </w:r>
            <w:r w:rsidRPr="00CF1798">
              <w:rPr>
                <w:rFonts w:eastAsia="新細明體"/>
                <w:sz w:val="22"/>
                <w:szCs w:val="22"/>
              </w:rPr>
              <w:t>Treatment</w:t>
            </w:r>
          </w:p>
          <w:p w:rsidR="0089245D" w:rsidRPr="00CF1798" w:rsidRDefault="00830E54" w:rsidP="00DE74B3">
            <w:pPr>
              <w:kinsoku w:val="0"/>
              <w:overflowPunct w:val="0"/>
              <w:spacing w:beforeLines="10" w:before="24" w:afterLines="10" w:after="24" w:line="240" w:lineRule="auto"/>
              <w:ind w:leftChars="22" w:left="53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Physical-</w:t>
            </w:r>
            <w:r w:rsidR="00984B18">
              <w:rPr>
                <w:rFonts w:eastAsia="新細明體"/>
                <w:sz w:val="22"/>
                <w:szCs w:val="22"/>
              </w:rPr>
              <w:t>c</w:t>
            </w:r>
            <w:r w:rsidR="00984B18" w:rsidRPr="00CF1798">
              <w:rPr>
                <w:rFonts w:eastAsia="新細明體"/>
                <w:sz w:val="22"/>
                <w:szCs w:val="22"/>
              </w:rPr>
              <w:t xml:space="preserve">hemical </w:t>
            </w:r>
            <w:r w:rsidRPr="00CF1798">
              <w:rPr>
                <w:rFonts w:eastAsia="新細明體"/>
                <w:sz w:val="22"/>
                <w:szCs w:val="22"/>
              </w:rPr>
              <w:t xml:space="preserve">Treatment </w:t>
            </w:r>
            <w:r w:rsidR="00DE74B3">
              <w:rPr>
                <w:rFonts w:eastAsia="新細明體"/>
                <w:sz w:val="22"/>
                <w:szCs w:val="22"/>
              </w:rPr>
              <w:t>Principles</w:t>
            </w:r>
          </w:p>
        </w:tc>
        <w:tc>
          <w:tcPr>
            <w:tcW w:w="1483" w:type="dxa"/>
            <w:vAlign w:val="center"/>
          </w:tcPr>
          <w:p w:rsidR="0089245D" w:rsidRPr="00CF1798" w:rsidRDefault="0089245D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89245D" w:rsidRPr="00CF1798" w:rsidRDefault="0089245D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89245D" w:rsidRPr="00CF1798" w:rsidRDefault="0089245D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074404" w:rsidRPr="00CF1798" w:rsidRDefault="00074404" w:rsidP="00AA1317">
            <w:pPr>
              <w:kinsoku w:val="0"/>
              <w:overflowPunct w:val="0"/>
              <w:spacing w:beforeLines="10" w:before="24" w:afterLines="10" w:after="24" w:line="240" w:lineRule="auto"/>
              <w:ind w:leftChars="35" w:left="84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□</w:t>
            </w:r>
            <w:r w:rsidR="001149F8">
              <w:rPr>
                <w:rFonts w:eastAsia="新細明體" w:hint="eastAsia"/>
                <w:sz w:val="22"/>
                <w:szCs w:val="22"/>
              </w:rPr>
              <w:t xml:space="preserve"> </w:t>
            </w:r>
            <w:r w:rsidRPr="00CF1798">
              <w:rPr>
                <w:rFonts w:eastAsia="新細明體"/>
                <w:sz w:val="22"/>
                <w:szCs w:val="22"/>
              </w:rPr>
              <w:t>Approved</w:t>
            </w:r>
          </w:p>
          <w:p w:rsidR="0089245D" w:rsidRPr="00CF1798" w:rsidRDefault="00074404" w:rsidP="00AA1317">
            <w:pPr>
              <w:tabs>
                <w:tab w:val="left" w:pos="112"/>
              </w:tabs>
              <w:kinsoku w:val="0"/>
              <w:overflowPunct w:val="0"/>
              <w:spacing w:beforeLines="10" w:before="24" w:afterLines="10" w:after="24" w:line="240" w:lineRule="auto"/>
              <w:ind w:leftChars="35" w:left="84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□</w:t>
            </w:r>
            <w:r w:rsidR="001149F8">
              <w:rPr>
                <w:rFonts w:eastAsia="新細明體" w:hint="eastAsia"/>
                <w:sz w:val="22"/>
                <w:szCs w:val="22"/>
              </w:rPr>
              <w:t xml:space="preserve"> </w:t>
            </w:r>
            <w:r w:rsidRPr="00CF1798">
              <w:rPr>
                <w:rFonts w:eastAsia="新細明體"/>
                <w:sz w:val="22"/>
                <w:szCs w:val="22"/>
              </w:rPr>
              <w:t>Not approved</w:t>
            </w:r>
          </w:p>
        </w:tc>
      </w:tr>
      <w:tr w:rsidR="00984B18" w:rsidRPr="00CF1798" w:rsidTr="00AA131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94" w:type="dxa"/>
            <w:vAlign w:val="center"/>
          </w:tcPr>
          <w:p w:rsidR="00984B18" w:rsidRPr="00CF1798" w:rsidRDefault="00984B18" w:rsidP="00AA1317">
            <w:pPr>
              <w:kinsoku w:val="0"/>
              <w:overflowPunct w:val="0"/>
              <w:spacing w:beforeLines="10" w:before="24" w:afterLines="10" w:after="24" w:line="240" w:lineRule="auto"/>
              <w:ind w:leftChars="17" w:left="279" w:hangingChars="108" w:hanging="238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 w:hint="eastAsia"/>
                <w:sz w:val="22"/>
                <w:szCs w:val="22"/>
              </w:rPr>
              <w:t xml:space="preserve">4. </w:t>
            </w:r>
            <w:r w:rsidRPr="00984B18">
              <w:rPr>
                <w:rFonts w:eastAsia="新細明體"/>
                <w:sz w:val="22"/>
                <w:szCs w:val="22"/>
              </w:rPr>
              <w:t>Biological Treatment</w:t>
            </w:r>
          </w:p>
        </w:tc>
        <w:tc>
          <w:tcPr>
            <w:tcW w:w="3346" w:type="dxa"/>
            <w:vAlign w:val="center"/>
          </w:tcPr>
          <w:p w:rsidR="00984B18" w:rsidRDefault="00984B18" w:rsidP="00AA1317">
            <w:pPr>
              <w:kinsoku w:val="0"/>
              <w:overflowPunct w:val="0"/>
              <w:spacing w:beforeLines="10" w:before="24" w:afterLines="10" w:after="24" w:line="240" w:lineRule="auto"/>
              <w:ind w:leftChars="22" w:left="53"/>
              <w:rPr>
                <w:rFonts w:eastAsia="新細明體"/>
                <w:sz w:val="22"/>
                <w:szCs w:val="22"/>
              </w:rPr>
            </w:pPr>
            <w:r w:rsidRPr="00984B18">
              <w:rPr>
                <w:rFonts w:eastAsia="新細明體"/>
                <w:sz w:val="22"/>
                <w:szCs w:val="22"/>
              </w:rPr>
              <w:t>Biological Wastewater Treatment</w:t>
            </w:r>
          </w:p>
          <w:p w:rsidR="00984B18" w:rsidRPr="00CF1798" w:rsidRDefault="00DE74B3" w:rsidP="00AA1317">
            <w:pPr>
              <w:kinsoku w:val="0"/>
              <w:overflowPunct w:val="0"/>
              <w:spacing w:beforeLines="10" w:before="24" w:afterLines="10" w:after="24" w:line="240" w:lineRule="auto"/>
              <w:ind w:leftChars="22" w:left="53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Environmental Engineering</w:t>
            </w:r>
            <w:r>
              <w:rPr>
                <w:rFonts w:eastAsia="新細明體"/>
                <w:sz w:val="22"/>
                <w:szCs w:val="22"/>
              </w:rPr>
              <w:t xml:space="preserve"> Biological Principles</w:t>
            </w:r>
          </w:p>
        </w:tc>
        <w:tc>
          <w:tcPr>
            <w:tcW w:w="1483" w:type="dxa"/>
            <w:vAlign w:val="center"/>
          </w:tcPr>
          <w:p w:rsidR="00984B18" w:rsidRPr="00CF1798" w:rsidRDefault="00984B18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984B18" w:rsidRPr="00CF1798" w:rsidRDefault="00984B18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984B18" w:rsidRPr="00CF1798" w:rsidRDefault="00984B18" w:rsidP="00AA1317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BA5C5B" w:rsidRPr="00CF1798" w:rsidRDefault="00BA5C5B" w:rsidP="00BA5C5B">
            <w:pPr>
              <w:kinsoku w:val="0"/>
              <w:overflowPunct w:val="0"/>
              <w:spacing w:beforeLines="10" w:before="24" w:afterLines="10" w:after="24" w:line="240" w:lineRule="auto"/>
              <w:ind w:leftChars="35" w:left="84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□</w:t>
            </w:r>
            <w:r>
              <w:rPr>
                <w:rFonts w:eastAsia="新細明體" w:hint="eastAsia"/>
                <w:sz w:val="22"/>
                <w:szCs w:val="22"/>
              </w:rPr>
              <w:t xml:space="preserve"> </w:t>
            </w:r>
            <w:r w:rsidRPr="00CF1798">
              <w:rPr>
                <w:rFonts w:eastAsia="新細明體"/>
                <w:sz w:val="22"/>
                <w:szCs w:val="22"/>
              </w:rPr>
              <w:t>Approved</w:t>
            </w:r>
          </w:p>
          <w:p w:rsidR="00984B18" w:rsidRPr="00CF1798" w:rsidRDefault="00BA5C5B" w:rsidP="00BA5C5B">
            <w:pPr>
              <w:kinsoku w:val="0"/>
              <w:overflowPunct w:val="0"/>
              <w:spacing w:beforeLines="10" w:before="24" w:afterLines="10" w:after="24" w:line="240" w:lineRule="auto"/>
              <w:ind w:leftChars="35" w:left="84"/>
              <w:rPr>
                <w:rFonts w:eastAsia="新細明體"/>
                <w:sz w:val="22"/>
                <w:szCs w:val="22"/>
              </w:rPr>
            </w:pPr>
            <w:r w:rsidRPr="00CF1798">
              <w:rPr>
                <w:rFonts w:eastAsia="新細明體"/>
                <w:sz w:val="22"/>
                <w:szCs w:val="22"/>
              </w:rPr>
              <w:t>□</w:t>
            </w:r>
            <w:r>
              <w:rPr>
                <w:rFonts w:eastAsia="新細明體" w:hint="eastAsia"/>
                <w:sz w:val="22"/>
                <w:szCs w:val="22"/>
              </w:rPr>
              <w:t xml:space="preserve"> </w:t>
            </w:r>
            <w:r w:rsidRPr="00CF1798">
              <w:rPr>
                <w:rFonts w:eastAsia="新細明體"/>
                <w:sz w:val="22"/>
                <w:szCs w:val="22"/>
              </w:rPr>
              <w:t>Not approved</w:t>
            </w:r>
          </w:p>
        </w:tc>
      </w:tr>
      <w:tr w:rsidR="00FB1E84" w:rsidRPr="00CF1798" w:rsidTr="00AA131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94" w:type="dxa"/>
            <w:vAlign w:val="center"/>
          </w:tcPr>
          <w:p w:rsidR="00FB1E84" w:rsidRPr="00FB1E84" w:rsidRDefault="00FB1E84" w:rsidP="00FB1E84">
            <w:pPr>
              <w:kinsoku w:val="0"/>
              <w:overflowPunct w:val="0"/>
              <w:spacing w:beforeLines="10" w:before="24" w:afterLines="10" w:after="24" w:line="240" w:lineRule="auto"/>
              <w:ind w:leftChars="17" w:left="279" w:hangingChars="108" w:hanging="238"/>
              <w:rPr>
                <w:rFonts w:eastAsia="新細明體"/>
                <w:color w:val="FF0000"/>
                <w:sz w:val="22"/>
                <w:szCs w:val="22"/>
              </w:rPr>
            </w:pPr>
            <w:r w:rsidRPr="00FB1E84">
              <w:rPr>
                <w:rFonts w:eastAsia="新細明體"/>
                <w:color w:val="FF0000"/>
                <w:sz w:val="22"/>
                <w:szCs w:val="22"/>
              </w:rPr>
              <w:t>5</w:t>
            </w:r>
            <w:r w:rsidRPr="00FB1E84">
              <w:rPr>
                <w:rFonts w:eastAsia="新細明體" w:hint="eastAsia"/>
                <w:color w:val="FF0000"/>
                <w:sz w:val="22"/>
                <w:szCs w:val="22"/>
              </w:rPr>
              <w:t xml:space="preserve">. </w:t>
            </w:r>
            <w:r w:rsidRPr="00FB1E84">
              <w:rPr>
                <w:rFonts w:eastAsia="新細明體"/>
                <w:color w:val="FF0000"/>
                <w:sz w:val="22"/>
                <w:szCs w:val="22"/>
              </w:rPr>
              <w:t>Reaction Kinetics</w:t>
            </w:r>
          </w:p>
        </w:tc>
        <w:tc>
          <w:tcPr>
            <w:tcW w:w="3346" w:type="dxa"/>
            <w:vAlign w:val="center"/>
          </w:tcPr>
          <w:p w:rsidR="00FB1E84" w:rsidRPr="00FB1E84" w:rsidRDefault="00FB1E84" w:rsidP="00FB1E84">
            <w:pPr>
              <w:kinsoku w:val="0"/>
              <w:overflowPunct w:val="0"/>
              <w:spacing w:beforeLines="10" w:before="24" w:afterLines="10" w:after="24" w:line="240" w:lineRule="auto"/>
              <w:ind w:leftChars="22" w:left="53"/>
              <w:rPr>
                <w:rFonts w:eastAsia="新細明體"/>
                <w:color w:val="FF0000"/>
                <w:sz w:val="22"/>
                <w:szCs w:val="22"/>
              </w:rPr>
            </w:pPr>
            <w:r w:rsidRPr="00FB1E84">
              <w:rPr>
                <w:rFonts w:eastAsia="新細明體"/>
                <w:color w:val="FF0000"/>
                <w:sz w:val="22"/>
                <w:szCs w:val="22"/>
              </w:rPr>
              <w:t>Unit Operation</w:t>
            </w:r>
          </w:p>
          <w:p w:rsidR="00FB1E84" w:rsidRPr="00FB1E84" w:rsidRDefault="00FB1E84" w:rsidP="00FB1E84">
            <w:pPr>
              <w:kinsoku w:val="0"/>
              <w:overflowPunct w:val="0"/>
              <w:spacing w:beforeLines="10" w:before="24" w:afterLines="10" w:after="24" w:line="240" w:lineRule="auto"/>
              <w:ind w:leftChars="22" w:left="53"/>
              <w:rPr>
                <w:rFonts w:eastAsia="新細明體"/>
                <w:color w:val="FF0000"/>
                <w:sz w:val="22"/>
                <w:szCs w:val="22"/>
              </w:rPr>
            </w:pPr>
            <w:r w:rsidRPr="00FB1E84">
              <w:rPr>
                <w:rFonts w:eastAsia="新細明體"/>
                <w:color w:val="FF0000"/>
                <w:sz w:val="22"/>
                <w:szCs w:val="22"/>
              </w:rPr>
              <w:t>Chemical Kinetics</w:t>
            </w:r>
          </w:p>
        </w:tc>
        <w:tc>
          <w:tcPr>
            <w:tcW w:w="1483" w:type="dxa"/>
            <w:vAlign w:val="center"/>
          </w:tcPr>
          <w:p w:rsidR="00FB1E84" w:rsidRPr="00FB1E84" w:rsidRDefault="00FB1E84" w:rsidP="00FB1E84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color w:val="FF0000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FB1E84" w:rsidRPr="00FB1E84" w:rsidRDefault="00FB1E84" w:rsidP="00FB1E84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FB1E84" w:rsidRPr="00FB1E84" w:rsidRDefault="00FB1E84" w:rsidP="00FB1E84">
            <w:pPr>
              <w:kinsoku w:val="0"/>
              <w:overflowPunct w:val="0"/>
              <w:spacing w:beforeLines="10" w:before="24" w:afterLines="10" w:after="24" w:line="240" w:lineRule="auto"/>
              <w:jc w:val="center"/>
              <w:rPr>
                <w:rFonts w:eastAsia="新細明體"/>
                <w:color w:val="FF0000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FB1E84" w:rsidRPr="00FB1E84" w:rsidRDefault="00FB1E84" w:rsidP="00FB1E84">
            <w:pPr>
              <w:kinsoku w:val="0"/>
              <w:overflowPunct w:val="0"/>
              <w:spacing w:beforeLines="10" w:before="24" w:afterLines="10" w:after="24" w:line="240" w:lineRule="auto"/>
              <w:ind w:leftChars="35" w:left="84"/>
              <w:rPr>
                <w:rFonts w:eastAsia="新細明體"/>
                <w:color w:val="FF0000"/>
                <w:sz w:val="22"/>
                <w:szCs w:val="22"/>
              </w:rPr>
            </w:pPr>
            <w:r w:rsidRPr="00FB1E84">
              <w:rPr>
                <w:rFonts w:eastAsia="新細明體"/>
                <w:color w:val="FF0000"/>
                <w:sz w:val="22"/>
                <w:szCs w:val="22"/>
              </w:rPr>
              <w:t>□</w:t>
            </w:r>
            <w:r w:rsidRPr="00FB1E84">
              <w:rPr>
                <w:rFonts w:eastAsia="新細明體" w:hint="eastAsia"/>
                <w:color w:val="FF0000"/>
                <w:sz w:val="22"/>
                <w:szCs w:val="22"/>
              </w:rPr>
              <w:t xml:space="preserve"> </w:t>
            </w:r>
            <w:r w:rsidRPr="00FB1E84">
              <w:rPr>
                <w:rFonts w:eastAsia="新細明體"/>
                <w:color w:val="FF0000"/>
                <w:sz w:val="22"/>
                <w:szCs w:val="22"/>
              </w:rPr>
              <w:t>Approved</w:t>
            </w:r>
          </w:p>
          <w:p w:rsidR="00FB1E84" w:rsidRPr="00FB1E84" w:rsidRDefault="00FB1E84" w:rsidP="00FB1E84">
            <w:pPr>
              <w:kinsoku w:val="0"/>
              <w:overflowPunct w:val="0"/>
              <w:spacing w:beforeLines="10" w:before="24" w:afterLines="10" w:after="24" w:line="240" w:lineRule="auto"/>
              <w:ind w:leftChars="35" w:left="84"/>
              <w:rPr>
                <w:rFonts w:eastAsia="新細明體"/>
                <w:color w:val="FF0000"/>
                <w:sz w:val="22"/>
                <w:szCs w:val="22"/>
              </w:rPr>
            </w:pPr>
            <w:r w:rsidRPr="00FB1E84">
              <w:rPr>
                <w:rFonts w:eastAsia="新細明體"/>
                <w:color w:val="FF0000"/>
                <w:sz w:val="22"/>
                <w:szCs w:val="22"/>
              </w:rPr>
              <w:t>□</w:t>
            </w:r>
            <w:r w:rsidRPr="00FB1E84">
              <w:rPr>
                <w:rFonts w:eastAsia="新細明體" w:hint="eastAsia"/>
                <w:color w:val="FF0000"/>
                <w:sz w:val="22"/>
                <w:szCs w:val="22"/>
              </w:rPr>
              <w:t xml:space="preserve"> </w:t>
            </w:r>
            <w:r w:rsidRPr="00FB1E84">
              <w:rPr>
                <w:rFonts w:eastAsia="新細明體"/>
                <w:color w:val="FF0000"/>
                <w:sz w:val="22"/>
                <w:szCs w:val="22"/>
              </w:rPr>
              <w:t>Not approved</w:t>
            </w:r>
          </w:p>
        </w:tc>
      </w:tr>
    </w:tbl>
    <w:p w:rsidR="00830E54" w:rsidRPr="00037F3C" w:rsidRDefault="00830E54" w:rsidP="009B6AAF">
      <w:pPr>
        <w:kinsoku w:val="0"/>
        <w:overflowPunct w:val="0"/>
        <w:spacing w:beforeLines="50" w:before="120" w:afterLines="50" w:after="120" w:line="240" w:lineRule="auto"/>
        <w:ind w:left="601" w:hanging="658"/>
        <w:jc w:val="both"/>
        <w:rPr>
          <w:rFonts w:eastAsia="新細明體"/>
        </w:rPr>
      </w:pPr>
      <w:r w:rsidRPr="00CF1798">
        <w:rPr>
          <w:rFonts w:eastAsia="新細明體"/>
        </w:rPr>
        <w:t xml:space="preserve">Note: </w:t>
      </w:r>
      <w:r w:rsidR="00450139" w:rsidRPr="00CF1798">
        <w:rPr>
          <w:rFonts w:eastAsia="新細明體"/>
        </w:rPr>
        <w:t>For courses not listed as similar courses, a</w:t>
      </w:r>
      <w:r w:rsidRPr="00CF1798">
        <w:rPr>
          <w:rFonts w:eastAsia="新細明體"/>
        </w:rPr>
        <w:t xml:space="preserve">pplicants shall </w:t>
      </w:r>
      <w:r w:rsidR="00450139" w:rsidRPr="00CF1798">
        <w:rPr>
          <w:rFonts w:eastAsia="新細明體"/>
        </w:rPr>
        <w:t xml:space="preserve">provide written descriptions of </w:t>
      </w:r>
      <w:r w:rsidRPr="00CF1798">
        <w:rPr>
          <w:rFonts w:eastAsia="新細明體"/>
        </w:rPr>
        <w:t xml:space="preserve">course contents and </w:t>
      </w:r>
      <w:r w:rsidR="009B6AAF" w:rsidRPr="00CF1798">
        <w:rPr>
          <w:rFonts w:eastAsia="新細明體"/>
        </w:rPr>
        <w:t>textbooks</w:t>
      </w:r>
      <w:r w:rsidRPr="00CF1798">
        <w:rPr>
          <w:rFonts w:eastAsia="新細明體"/>
        </w:rPr>
        <w:t xml:space="preserve"> used </w:t>
      </w:r>
      <w:r w:rsidR="00450139" w:rsidRPr="00CF1798">
        <w:rPr>
          <w:rFonts w:eastAsia="新細明體"/>
        </w:rPr>
        <w:t xml:space="preserve">to be </w:t>
      </w:r>
      <w:r w:rsidR="00395A28" w:rsidRPr="00CF1798">
        <w:rPr>
          <w:rFonts w:eastAsia="新細明體"/>
        </w:rPr>
        <w:t>evaluated</w:t>
      </w:r>
      <w:r w:rsidR="00450139" w:rsidRPr="00CF1798">
        <w:rPr>
          <w:rFonts w:eastAsia="新細明體"/>
        </w:rPr>
        <w:t xml:space="preserve">. </w:t>
      </w:r>
    </w:p>
    <w:p w:rsidR="007F260A" w:rsidRDefault="00450139" w:rsidP="006F0BC5">
      <w:pPr>
        <w:numPr>
          <w:ilvl w:val="0"/>
          <w:numId w:val="2"/>
        </w:numPr>
        <w:spacing w:afterLines="50" w:after="120" w:line="240" w:lineRule="auto"/>
        <w:jc w:val="both"/>
        <w:outlineLvl w:val="0"/>
        <w:rPr>
          <w:rFonts w:eastAsia="新細明體"/>
        </w:rPr>
      </w:pPr>
      <w:r w:rsidRPr="00CF1798">
        <w:rPr>
          <w:rFonts w:eastAsia="新細明體"/>
        </w:rPr>
        <w:t>Documents to be submitted and submission timeline:</w:t>
      </w:r>
    </w:p>
    <w:p w:rsidR="007F260A" w:rsidRPr="007F260A" w:rsidRDefault="007F260A" w:rsidP="006F0BC5">
      <w:pPr>
        <w:numPr>
          <w:ilvl w:val="0"/>
          <w:numId w:val="3"/>
        </w:numPr>
        <w:spacing w:afterLines="50" w:after="120" w:line="240" w:lineRule="auto"/>
        <w:jc w:val="both"/>
        <w:outlineLvl w:val="0"/>
        <w:rPr>
          <w:rFonts w:eastAsia="新細明體"/>
        </w:rPr>
      </w:pPr>
      <w:r w:rsidRPr="007F260A">
        <w:rPr>
          <w:rFonts w:eastAsia="新細明體"/>
        </w:rPr>
        <w:t xml:space="preserve"> Documents to be submitted: Declaration form and grade reports for </w:t>
      </w:r>
      <w:r w:rsidR="009B6AAF">
        <w:rPr>
          <w:rFonts w:eastAsia="新細明體"/>
        </w:rPr>
        <w:t>master’s degree</w:t>
      </w:r>
      <w:r w:rsidRPr="007F260A">
        <w:rPr>
          <w:rFonts w:eastAsia="新細明體"/>
        </w:rPr>
        <w:t xml:space="preserve"> studies</w:t>
      </w:r>
      <w:r w:rsidR="000F7EE0">
        <w:rPr>
          <w:rFonts w:eastAsia="新細明體"/>
        </w:rPr>
        <w:t>.</w:t>
      </w:r>
    </w:p>
    <w:p w:rsidR="007F260A" w:rsidRPr="007F260A" w:rsidRDefault="007F260A" w:rsidP="006F0BC5">
      <w:pPr>
        <w:numPr>
          <w:ilvl w:val="0"/>
          <w:numId w:val="3"/>
        </w:numPr>
        <w:spacing w:afterLines="50" w:after="120" w:line="240" w:lineRule="auto"/>
        <w:jc w:val="both"/>
        <w:outlineLvl w:val="0"/>
        <w:rPr>
          <w:rFonts w:eastAsia="新細明體"/>
        </w:rPr>
      </w:pPr>
      <w:r>
        <w:rPr>
          <w:rFonts w:eastAsia="新細明體"/>
        </w:rPr>
        <w:t xml:space="preserve"> </w:t>
      </w:r>
      <w:r w:rsidRPr="007F260A">
        <w:rPr>
          <w:rFonts w:eastAsia="新細明體"/>
        </w:rPr>
        <w:t xml:space="preserve">Submission timeline: </w:t>
      </w:r>
      <w:r w:rsidRPr="000F7EE0">
        <w:rPr>
          <w:rFonts w:eastAsia="新細明體"/>
          <w:b/>
        </w:rPr>
        <w:t xml:space="preserve">From the entry </w:t>
      </w:r>
      <w:r w:rsidR="009B6AAF" w:rsidRPr="000F7EE0">
        <w:rPr>
          <w:rFonts w:eastAsia="新細明體"/>
          <w:b/>
        </w:rPr>
        <w:t xml:space="preserve">year </w:t>
      </w:r>
      <w:r w:rsidRPr="000F7EE0">
        <w:rPr>
          <w:rFonts w:eastAsia="新細明體"/>
          <w:b/>
        </w:rPr>
        <w:t>to June 30 in the following year and each student may apply once only in principle.</w:t>
      </w:r>
      <w:r w:rsidRPr="007F260A">
        <w:rPr>
          <w:rFonts w:eastAsia="新細明體"/>
        </w:rPr>
        <w:t xml:space="preserve"> </w:t>
      </w:r>
    </w:p>
    <w:p w:rsidR="007F260A" w:rsidRDefault="00450139" w:rsidP="006F0BC5">
      <w:pPr>
        <w:numPr>
          <w:ilvl w:val="0"/>
          <w:numId w:val="2"/>
        </w:numPr>
        <w:spacing w:afterLines="50" w:after="120" w:line="240" w:lineRule="auto"/>
        <w:jc w:val="both"/>
        <w:outlineLvl w:val="0"/>
        <w:rPr>
          <w:rFonts w:eastAsia="新細明體"/>
        </w:rPr>
      </w:pPr>
      <w:r w:rsidRPr="007F260A">
        <w:rPr>
          <w:rFonts w:eastAsia="新細明體"/>
        </w:rPr>
        <w:t>Declaration and review procedures</w:t>
      </w:r>
    </w:p>
    <w:p w:rsidR="00F4180F" w:rsidRPr="007F260A" w:rsidRDefault="00450139" w:rsidP="006F0BC5">
      <w:pPr>
        <w:spacing w:afterLines="50" w:after="120" w:line="240" w:lineRule="auto"/>
        <w:ind w:left="720"/>
        <w:jc w:val="both"/>
        <w:outlineLvl w:val="0"/>
        <w:rPr>
          <w:rFonts w:eastAsia="新細明體"/>
        </w:rPr>
      </w:pPr>
      <w:r w:rsidRPr="007F260A">
        <w:rPr>
          <w:rFonts w:eastAsia="新細明體"/>
        </w:rPr>
        <w:t>Student</w:t>
      </w:r>
      <w:r w:rsidR="007F260A">
        <w:rPr>
          <w:rFonts w:eastAsia="新細明體"/>
        </w:rPr>
        <w:t xml:space="preserve"> (d</w:t>
      </w:r>
      <w:r w:rsidR="007F260A" w:rsidRPr="00CF1798">
        <w:rPr>
          <w:rFonts w:eastAsia="新細明體"/>
        </w:rPr>
        <w:t>ocument preparation</w:t>
      </w:r>
      <w:r w:rsidR="007F260A">
        <w:rPr>
          <w:rFonts w:eastAsia="新細明體"/>
        </w:rPr>
        <w:t>)</w:t>
      </w:r>
      <w:r w:rsidR="00F4180F" w:rsidRPr="00CF1798">
        <w:rPr>
          <w:rFonts w:eastAsia="新細明體"/>
        </w:rPr>
        <w:sym w:font="Wingdings" w:char="F0E8"/>
      </w:r>
      <w:r w:rsidRPr="007F260A">
        <w:rPr>
          <w:rFonts w:eastAsia="新細明體"/>
        </w:rPr>
        <w:t>institute office</w:t>
      </w:r>
      <w:r w:rsidR="00F4180F" w:rsidRPr="00CF1798">
        <w:rPr>
          <w:rFonts w:eastAsia="新細明體"/>
        </w:rPr>
        <w:sym w:font="Wingdings" w:char="F0E8"/>
      </w:r>
      <w:r w:rsidRPr="007F260A">
        <w:rPr>
          <w:rFonts w:eastAsia="新細明體"/>
        </w:rPr>
        <w:t>Teaching and Curriculum Committee</w:t>
      </w:r>
      <w:r w:rsidR="00863E78" w:rsidRPr="007F260A">
        <w:rPr>
          <w:rFonts w:eastAsia="新細明體"/>
        </w:rPr>
        <w:t xml:space="preserve"> member</w:t>
      </w:r>
      <w:r w:rsidR="007F260A">
        <w:rPr>
          <w:rFonts w:eastAsia="新細明體"/>
        </w:rPr>
        <w:t xml:space="preserve"> (i</w:t>
      </w:r>
      <w:r w:rsidR="007F260A" w:rsidRPr="00CF1798">
        <w:rPr>
          <w:rFonts w:eastAsia="新細明體"/>
        </w:rPr>
        <w:t>nitial review</w:t>
      </w:r>
      <w:r w:rsidR="007F260A">
        <w:rPr>
          <w:rFonts w:eastAsia="新細明體"/>
        </w:rPr>
        <w:t>)</w:t>
      </w:r>
      <w:r w:rsidR="00F4180F" w:rsidRPr="00CF1798">
        <w:rPr>
          <w:rFonts w:eastAsia="新細明體"/>
        </w:rPr>
        <w:sym w:font="Wingdings" w:char="F0E8"/>
      </w:r>
      <w:r w:rsidRPr="007F260A">
        <w:rPr>
          <w:rFonts w:eastAsia="新細明體"/>
        </w:rPr>
        <w:t>director of institute</w:t>
      </w:r>
      <w:r w:rsidR="007F260A">
        <w:rPr>
          <w:rFonts w:eastAsia="新細明體"/>
        </w:rPr>
        <w:t xml:space="preserve"> (s</w:t>
      </w:r>
      <w:r w:rsidR="007F260A" w:rsidRPr="00CF1798">
        <w:rPr>
          <w:rFonts w:eastAsia="新細明體"/>
        </w:rPr>
        <w:t>econd</w:t>
      </w:r>
      <w:r w:rsidR="000F7EE0">
        <w:rPr>
          <w:rFonts w:eastAsia="新細明體"/>
        </w:rPr>
        <w:t>-stage</w:t>
      </w:r>
      <w:r w:rsidR="007F260A" w:rsidRPr="00CF1798">
        <w:rPr>
          <w:rFonts w:eastAsia="新細明體"/>
        </w:rPr>
        <w:t xml:space="preserve"> review</w:t>
      </w:r>
      <w:r w:rsidR="007F260A">
        <w:rPr>
          <w:rFonts w:eastAsia="新細明體"/>
        </w:rPr>
        <w:t>)</w:t>
      </w:r>
      <w:r w:rsidR="00F4180F" w:rsidRPr="00CF1798">
        <w:rPr>
          <w:rFonts w:eastAsia="新細明體"/>
        </w:rPr>
        <w:sym w:font="Wingdings" w:char="F0E8"/>
      </w:r>
      <w:r w:rsidR="00395A28" w:rsidRPr="007F260A">
        <w:rPr>
          <w:rFonts w:eastAsia="新細明體"/>
        </w:rPr>
        <w:t xml:space="preserve"> </w:t>
      </w:r>
      <w:r w:rsidR="00863E78" w:rsidRPr="007F260A">
        <w:rPr>
          <w:rFonts w:eastAsia="新細明體"/>
        </w:rPr>
        <w:t xml:space="preserve">student notified and results printed and issued to concerned </w:t>
      </w:r>
      <w:r w:rsidR="000F7EE0">
        <w:rPr>
          <w:rFonts w:eastAsia="新細明體"/>
        </w:rPr>
        <w:t xml:space="preserve">faculty members </w:t>
      </w:r>
      <w:r w:rsidR="007F260A">
        <w:rPr>
          <w:rFonts w:eastAsia="新細明體"/>
        </w:rPr>
        <w:t>(</w:t>
      </w:r>
      <w:r w:rsidR="007F260A" w:rsidRPr="00CF1798">
        <w:rPr>
          <w:rFonts w:eastAsia="新細明體"/>
        </w:rPr>
        <w:t>filing</w:t>
      </w:r>
      <w:r w:rsidR="007F260A">
        <w:rPr>
          <w:rFonts w:eastAsia="新細明體"/>
        </w:rPr>
        <w:t>)</w:t>
      </w:r>
    </w:p>
    <w:tbl>
      <w:tblPr>
        <w:tblpPr w:leftFromText="180" w:rightFromText="180" w:vertAnchor="text" w:horzAnchor="margin" w:tblpY="24"/>
        <w:tblW w:w="0" w:type="auto"/>
        <w:tblLook w:val="01E0" w:firstRow="1" w:lastRow="1" w:firstColumn="1" w:lastColumn="1" w:noHBand="0" w:noVBand="0"/>
      </w:tblPr>
      <w:tblGrid>
        <w:gridCol w:w="2896"/>
        <w:gridCol w:w="1572"/>
        <w:gridCol w:w="1595"/>
        <w:gridCol w:w="3478"/>
      </w:tblGrid>
      <w:tr w:rsidR="00037F3C" w:rsidRPr="00037F3C" w:rsidTr="001149F8">
        <w:trPr>
          <w:trHeight w:val="567"/>
        </w:trPr>
        <w:tc>
          <w:tcPr>
            <w:tcW w:w="2896" w:type="dxa"/>
            <w:shd w:val="clear" w:color="auto" w:fill="auto"/>
            <w:vAlign w:val="center"/>
          </w:tcPr>
          <w:p w:rsidR="001149F8" w:rsidRPr="00037F3C" w:rsidRDefault="001149F8" w:rsidP="001149F8">
            <w:pPr>
              <w:spacing w:line="240" w:lineRule="auto"/>
              <w:ind w:leftChars="-11" w:left="-26" w:rightChars="-17" w:right="-41"/>
              <w:jc w:val="both"/>
              <w:rPr>
                <w:rFonts w:eastAsia="新細明體"/>
              </w:rPr>
            </w:pPr>
          </w:p>
          <w:p w:rsidR="001149F8" w:rsidRPr="00037F3C" w:rsidRDefault="001149F8" w:rsidP="001149F8">
            <w:pPr>
              <w:spacing w:line="240" w:lineRule="auto"/>
              <w:ind w:leftChars="-11" w:left="-26" w:rightChars="-17" w:right="-41"/>
              <w:jc w:val="both"/>
              <w:rPr>
                <w:rFonts w:eastAsia="新細明體"/>
              </w:rPr>
            </w:pPr>
            <w:r w:rsidRPr="00037F3C">
              <w:rPr>
                <w:rFonts w:eastAsia="新細明體"/>
              </w:rPr>
              <w:t>Student: ____________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1149F8" w:rsidRPr="000F7EE0" w:rsidRDefault="001149F8" w:rsidP="001149F8">
            <w:pPr>
              <w:spacing w:line="240" w:lineRule="auto"/>
              <w:rPr>
                <w:rFonts w:eastAsia="新細明體" w:hint="eastAsia"/>
              </w:rPr>
            </w:pPr>
            <w:r w:rsidRPr="000F7EE0">
              <w:rPr>
                <w:rFonts w:eastAsia="新細明體"/>
              </w:rPr>
              <w:t>Teaching and Curriculum Committee Member</w:t>
            </w:r>
            <w:r w:rsidR="000F7EE0">
              <w:rPr>
                <w:rFonts w:eastAsia="新細明體"/>
              </w:rPr>
              <w:t>s</w:t>
            </w:r>
            <w:r w:rsidRPr="000F7EE0">
              <w:rPr>
                <w:rFonts w:eastAsia="新細明體" w:hint="eastAsia"/>
              </w:rPr>
              <w:t xml:space="preserve">: 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1149F8" w:rsidRPr="00037F3C" w:rsidRDefault="001149F8" w:rsidP="001149F8">
            <w:pPr>
              <w:spacing w:line="240" w:lineRule="auto"/>
              <w:ind w:leftChars="-26" w:left="-62"/>
              <w:rPr>
                <w:rFonts w:eastAsia="新細明體" w:hint="eastAsia"/>
              </w:rPr>
            </w:pPr>
            <w:r w:rsidRPr="00037F3C">
              <w:rPr>
                <w:rFonts w:eastAsia="新細明體" w:hint="eastAsia"/>
              </w:rPr>
              <w:t>____________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1149F8" w:rsidRPr="00037F3C" w:rsidRDefault="001149F8" w:rsidP="001149F8">
            <w:pPr>
              <w:spacing w:line="240" w:lineRule="auto"/>
              <w:jc w:val="both"/>
              <w:rPr>
                <w:rFonts w:eastAsia="新細明體"/>
              </w:rPr>
            </w:pPr>
            <w:r w:rsidRPr="00037F3C">
              <w:rPr>
                <w:rFonts w:eastAsia="新細明體"/>
              </w:rPr>
              <w:t>Director of Institute</w:t>
            </w:r>
            <w:r w:rsidRPr="00037F3C">
              <w:rPr>
                <w:rFonts w:eastAsia="新細明體" w:hint="eastAsia"/>
              </w:rPr>
              <w:t>: __________</w:t>
            </w:r>
          </w:p>
        </w:tc>
      </w:tr>
      <w:tr w:rsidR="00037F3C" w:rsidRPr="00037F3C" w:rsidTr="001149F8">
        <w:trPr>
          <w:trHeight w:val="567"/>
        </w:trPr>
        <w:tc>
          <w:tcPr>
            <w:tcW w:w="2896" w:type="dxa"/>
            <w:shd w:val="clear" w:color="auto" w:fill="auto"/>
            <w:vAlign w:val="center"/>
          </w:tcPr>
          <w:p w:rsidR="001149F8" w:rsidRPr="00037F3C" w:rsidRDefault="001149F8" w:rsidP="001149F8">
            <w:pPr>
              <w:spacing w:line="240" w:lineRule="auto"/>
              <w:ind w:leftChars="-11" w:left="-26" w:rightChars="-17" w:right="-41"/>
              <w:jc w:val="both"/>
              <w:rPr>
                <w:rFonts w:eastAsia="新細明體"/>
              </w:rPr>
            </w:pPr>
            <w:r w:rsidRPr="00037F3C">
              <w:rPr>
                <w:rFonts w:eastAsia="新細明體"/>
              </w:rPr>
              <w:t xml:space="preserve">Student </w:t>
            </w:r>
            <w:r w:rsidRPr="00037F3C">
              <w:rPr>
                <w:rFonts w:eastAsia="新細明體" w:hint="eastAsia"/>
              </w:rPr>
              <w:t xml:space="preserve">ID </w:t>
            </w:r>
            <w:r w:rsidRPr="00037F3C">
              <w:rPr>
                <w:rFonts w:eastAsia="新細明體"/>
              </w:rPr>
              <w:t>No.</w:t>
            </w:r>
            <w:r w:rsidRPr="00037F3C">
              <w:rPr>
                <w:rFonts w:eastAsia="新細明體" w:hint="eastAsia"/>
              </w:rPr>
              <w:t>: _________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1149F8" w:rsidRPr="00037F3C" w:rsidRDefault="001149F8" w:rsidP="001149F8">
            <w:pPr>
              <w:tabs>
                <w:tab w:val="left" w:pos="1908"/>
              </w:tabs>
              <w:spacing w:line="240" w:lineRule="auto"/>
              <w:ind w:leftChars="-266" w:left="-638" w:rightChars="-576" w:right="-1382" w:firstLine="3"/>
              <w:jc w:val="both"/>
              <w:rPr>
                <w:rFonts w:eastAsia="新細明體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149F8" w:rsidRPr="00037F3C" w:rsidRDefault="001149F8" w:rsidP="001149F8">
            <w:pPr>
              <w:spacing w:line="240" w:lineRule="auto"/>
              <w:ind w:leftChars="-26" w:left="-62" w:rightChars="-162" w:right="-389" w:firstLine="1"/>
              <w:rPr>
                <w:rFonts w:eastAsia="新細明體"/>
              </w:rPr>
            </w:pPr>
            <w:r w:rsidRPr="00037F3C">
              <w:rPr>
                <w:rFonts w:eastAsia="新細明體" w:hint="eastAsia"/>
              </w:rPr>
              <w:t>____________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1149F8" w:rsidRPr="00037F3C" w:rsidRDefault="001149F8" w:rsidP="001149F8">
            <w:pPr>
              <w:spacing w:line="240" w:lineRule="auto"/>
              <w:jc w:val="both"/>
              <w:rPr>
                <w:rFonts w:eastAsia="新細明體"/>
              </w:rPr>
            </w:pPr>
          </w:p>
        </w:tc>
      </w:tr>
      <w:tr w:rsidR="001149F8" w:rsidRPr="00037F3C" w:rsidTr="001149F8">
        <w:trPr>
          <w:trHeight w:val="567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1149F8" w:rsidRPr="00037F3C" w:rsidRDefault="001149F8" w:rsidP="000F7EE0">
            <w:pPr>
              <w:spacing w:line="240" w:lineRule="auto"/>
              <w:ind w:leftChars="-11" w:left="-26" w:rightChars="-17" w:right="-41"/>
              <w:jc w:val="both"/>
              <w:rPr>
                <w:rFonts w:eastAsia="新細明體"/>
              </w:rPr>
            </w:pPr>
            <w:r w:rsidRPr="00037F3C">
              <w:rPr>
                <w:rFonts w:eastAsia="新細明體"/>
              </w:rPr>
              <w:t xml:space="preserve">Date: </w:t>
            </w:r>
            <w:r w:rsidR="000F7EE0">
              <w:rPr>
                <w:rFonts w:eastAsia="新細明體"/>
              </w:rPr>
              <w:t>(yyyy/mm/dd)</w:t>
            </w:r>
          </w:p>
        </w:tc>
      </w:tr>
    </w:tbl>
    <w:p w:rsidR="00F4180F" w:rsidRPr="00037F3C" w:rsidRDefault="00F4180F" w:rsidP="007F260A">
      <w:pPr>
        <w:spacing w:afterLines="50" w:after="120" w:line="240" w:lineRule="auto"/>
        <w:ind w:right="480"/>
        <w:rPr>
          <w:rFonts w:eastAsia="新細明體" w:hint="eastAsia"/>
        </w:rPr>
      </w:pPr>
    </w:p>
    <w:sectPr w:rsidR="00F4180F" w:rsidRPr="00037F3C" w:rsidSect="00CF1798">
      <w:pgSz w:w="11906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8A" w:rsidRDefault="00E6188A">
      <w:r>
        <w:separator/>
      </w:r>
    </w:p>
  </w:endnote>
  <w:endnote w:type="continuationSeparator" w:id="0">
    <w:p w:rsidR="00E6188A" w:rsidRDefault="00E6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8A" w:rsidRDefault="00E6188A">
      <w:r>
        <w:separator/>
      </w:r>
    </w:p>
  </w:footnote>
  <w:footnote w:type="continuationSeparator" w:id="0">
    <w:p w:rsidR="00E6188A" w:rsidRDefault="00E6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CA1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65383"/>
    <w:multiLevelType w:val="hybridMultilevel"/>
    <w:tmpl w:val="29E0FDDE"/>
    <w:lvl w:ilvl="0" w:tplc="DD140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D122BA7"/>
    <w:multiLevelType w:val="hybridMultilevel"/>
    <w:tmpl w:val="D75EB9F4"/>
    <w:lvl w:ilvl="0" w:tplc="DE90FD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9E"/>
    <w:rsid w:val="000158BA"/>
    <w:rsid w:val="00037F3C"/>
    <w:rsid w:val="00074404"/>
    <w:rsid w:val="00097047"/>
    <w:rsid w:val="000E0963"/>
    <w:rsid w:val="000E35BC"/>
    <w:rsid w:val="000E508C"/>
    <w:rsid w:val="000F0DE6"/>
    <w:rsid w:val="000F7EE0"/>
    <w:rsid w:val="00113326"/>
    <w:rsid w:val="001149F8"/>
    <w:rsid w:val="0013387D"/>
    <w:rsid w:val="001430CA"/>
    <w:rsid w:val="00154A98"/>
    <w:rsid w:val="0015587F"/>
    <w:rsid w:val="00165B6E"/>
    <w:rsid w:val="0016744A"/>
    <w:rsid w:val="001C38A7"/>
    <w:rsid w:val="001C470F"/>
    <w:rsid w:val="001D3D37"/>
    <w:rsid w:val="00210EEB"/>
    <w:rsid w:val="0022303F"/>
    <w:rsid w:val="00275F29"/>
    <w:rsid w:val="002B2FD5"/>
    <w:rsid w:val="002F140B"/>
    <w:rsid w:val="00307CB8"/>
    <w:rsid w:val="003114F6"/>
    <w:rsid w:val="00340DAA"/>
    <w:rsid w:val="00387F3E"/>
    <w:rsid w:val="00395A28"/>
    <w:rsid w:val="003A1F20"/>
    <w:rsid w:val="003C203A"/>
    <w:rsid w:val="003C253C"/>
    <w:rsid w:val="003D16CC"/>
    <w:rsid w:val="003E66A5"/>
    <w:rsid w:val="003E78F6"/>
    <w:rsid w:val="003F3463"/>
    <w:rsid w:val="00432EA6"/>
    <w:rsid w:val="004401D7"/>
    <w:rsid w:val="004477ED"/>
    <w:rsid w:val="00450139"/>
    <w:rsid w:val="00453504"/>
    <w:rsid w:val="00482780"/>
    <w:rsid w:val="00494C14"/>
    <w:rsid w:val="004B6E8F"/>
    <w:rsid w:val="004C353A"/>
    <w:rsid w:val="004D5205"/>
    <w:rsid w:val="005044AF"/>
    <w:rsid w:val="0050754F"/>
    <w:rsid w:val="005310F6"/>
    <w:rsid w:val="00531417"/>
    <w:rsid w:val="005403E1"/>
    <w:rsid w:val="005440CA"/>
    <w:rsid w:val="00571C30"/>
    <w:rsid w:val="00585E3C"/>
    <w:rsid w:val="005C4BCA"/>
    <w:rsid w:val="005F08FE"/>
    <w:rsid w:val="0060035E"/>
    <w:rsid w:val="006059D7"/>
    <w:rsid w:val="006059E6"/>
    <w:rsid w:val="006644C7"/>
    <w:rsid w:val="0069318D"/>
    <w:rsid w:val="006953E8"/>
    <w:rsid w:val="006C51CA"/>
    <w:rsid w:val="006C58CB"/>
    <w:rsid w:val="006F0BC5"/>
    <w:rsid w:val="006F3621"/>
    <w:rsid w:val="0075663F"/>
    <w:rsid w:val="0077040F"/>
    <w:rsid w:val="00770DFF"/>
    <w:rsid w:val="0078325D"/>
    <w:rsid w:val="00797061"/>
    <w:rsid w:val="007A24A7"/>
    <w:rsid w:val="007B6253"/>
    <w:rsid w:val="007F260A"/>
    <w:rsid w:val="008131FA"/>
    <w:rsid w:val="00817072"/>
    <w:rsid w:val="00830E54"/>
    <w:rsid w:val="00863E78"/>
    <w:rsid w:val="00890843"/>
    <w:rsid w:val="0089245D"/>
    <w:rsid w:val="008A7251"/>
    <w:rsid w:val="008C50C7"/>
    <w:rsid w:val="008D31CA"/>
    <w:rsid w:val="008E4C10"/>
    <w:rsid w:val="00902AC2"/>
    <w:rsid w:val="0091110C"/>
    <w:rsid w:val="00921909"/>
    <w:rsid w:val="00930E03"/>
    <w:rsid w:val="00966B0C"/>
    <w:rsid w:val="00984B18"/>
    <w:rsid w:val="0099320A"/>
    <w:rsid w:val="009A5D8D"/>
    <w:rsid w:val="009B51C0"/>
    <w:rsid w:val="009B6AAF"/>
    <w:rsid w:val="009C770F"/>
    <w:rsid w:val="009D659D"/>
    <w:rsid w:val="00A127F1"/>
    <w:rsid w:val="00A158DD"/>
    <w:rsid w:val="00A33099"/>
    <w:rsid w:val="00A35CB8"/>
    <w:rsid w:val="00A71F30"/>
    <w:rsid w:val="00AA049E"/>
    <w:rsid w:val="00AA1317"/>
    <w:rsid w:val="00AC2285"/>
    <w:rsid w:val="00AE17EA"/>
    <w:rsid w:val="00B21270"/>
    <w:rsid w:val="00B30659"/>
    <w:rsid w:val="00BA5C5B"/>
    <w:rsid w:val="00BC444B"/>
    <w:rsid w:val="00C82DBB"/>
    <w:rsid w:val="00CA50AE"/>
    <w:rsid w:val="00CC6807"/>
    <w:rsid w:val="00CD3329"/>
    <w:rsid w:val="00CD4107"/>
    <w:rsid w:val="00CF1798"/>
    <w:rsid w:val="00CF70F5"/>
    <w:rsid w:val="00DB50CF"/>
    <w:rsid w:val="00DB7524"/>
    <w:rsid w:val="00DE74B3"/>
    <w:rsid w:val="00E47457"/>
    <w:rsid w:val="00E57825"/>
    <w:rsid w:val="00E6188A"/>
    <w:rsid w:val="00E66793"/>
    <w:rsid w:val="00E77B99"/>
    <w:rsid w:val="00E81F55"/>
    <w:rsid w:val="00E90CA8"/>
    <w:rsid w:val="00EE316D"/>
    <w:rsid w:val="00F23149"/>
    <w:rsid w:val="00F25E42"/>
    <w:rsid w:val="00F31775"/>
    <w:rsid w:val="00F4180F"/>
    <w:rsid w:val="00F5217F"/>
    <w:rsid w:val="00FB1E84"/>
    <w:rsid w:val="00FD7AC0"/>
    <w:rsid w:val="00FF02B8"/>
    <w:rsid w:val="00FF0FF7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47A1B7-6601-425F-9F8B-6ADAE3BE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kinsoku w:val="0"/>
      <w:wordWrap w:val="0"/>
      <w:overflowPunct w:val="0"/>
      <w:autoSpaceDE w:val="0"/>
      <w:autoSpaceDN w:val="0"/>
      <w:adjustRightInd/>
      <w:spacing w:line="240" w:lineRule="auto"/>
      <w:ind w:left="454" w:hanging="454"/>
      <w:textAlignment w:val="auto"/>
    </w:pPr>
    <w:rPr>
      <w:rFonts w:ascii="標楷體" w:eastAsia="標楷體"/>
      <w:kern w:val="2"/>
      <w:sz w:val="22"/>
    </w:rPr>
  </w:style>
  <w:style w:type="paragraph" w:styleId="a5">
    <w:name w:val="Balloon Text"/>
    <w:basedOn w:val="a"/>
    <w:semiHidden/>
    <w:rsid w:val="00494C14"/>
    <w:rPr>
      <w:rFonts w:ascii="Arial" w:eastAsia="新細明體" w:hAnsi="Arial"/>
      <w:sz w:val="18"/>
      <w:szCs w:val="18"/>
    </w:rPr>
  </w:style>
  <w:style w:type="table" w:styleId="a6">
    <w:name w:val="Table Grid"/>
    <w:basedOn w:val="a1"/>
    <w:rsid w:val="006953E8"/>
    <w:pPr>
      <w:widowControl w:val="0"/>
      <w:adjustRightInd w:val="0"/>
      <w:spacing w:line="360" w:lineRule="atLeast"/>
      <w:textAlignment w:val="baseline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1332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113326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Revision">
    <w:name w:val="Revision"/>
    <w:hidden/>
    <w:uiPriority w:val="99"/>
    <w:semiHidden/>
    <w:rsid w:val="009D659D"/>
    <w:rPr>
      <w:sz w:val="24"/>
    </w:rPr>
  </w:style>
  <w:style w:type="paragraph" w:styleId="a9">
    <w:name w:val="Document Map"/>
    <w:basedOn w:val="a"/>
    <w:semiHidden/>
    <w:rsid w:val="008C50C7"/>
    <w:pPr>
      <w:shd w:val="clear" w:color="auto" w:fill="000080"/>
    </w:pPr>
    <w:rPr>
      <w:rFonts w:ascii="Arial" w:eastAsia="新細明體" w:hAnsi="Arial"/>
    </w:rPr>
  </w:style>
  <w:style w:type="character" w:customStyle="1" w:styleId="a4">
    <w:name w:val="本文縮排 字元"/>
    <w:link w:val="a3"/>
    <w:rsid w:val="00FB1E84"/>
    <w:rPr>
      <w:rFonts w:ascii="標楷體" w:eastAsia="標楷體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7397-D495-4F15-BF23-FF10CC35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2343</Characters>
  <Application>Microsoft Office Word</Application>
  <DocSecurity>0</DocSecurity>
  <Lines>106</Lines>
  <Paragraphs>69</Paragraphs>
  <ScaleCrop>false</ScaleCrop>
  <Company>中山大學環工所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國立中山大學環境工程研究所</dc:title>
  <dc:subject/>
  <dc:creator>Maurice Elliott Lynn</dc:creator>
  <cp:keywords/>
  <cp:lastModifiedBy>user</cp:lastModifiedBy>
  <cp:revision>2</cp:revision>
  <cp:lastPrinted>2023-08-04T06:53:00Z</cp:lastPrinted>
  <dcterms:created xsi:type="dcterms:W3CDTF">2023-08-04T06:56:00Z</dcterms:created>
  <dcterms:modified xsi:type="dcterms:W3CDTF">2023-08-04T06:56:00Z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32a2bf67f51b09a27a3c9409fd09f64b17339998bc6a9233a9795610dc968e32</vt:lpwstr>
  </property>
</Properties>
</file>